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6A785B" w:rsidP="009A3329">
      <w:pPr>
        <w:autoSpaceDE w:val="0"/>
        <w:autoSpaceDN w:val="0"/>
        <w:adjustRightInd w:val="0"/>
        <w:ind w:firstLine="284"/>
        <w:jc w:val="right"/>
        <w:rPr>
          <w:rFonts w:ascii="Times New Roman" w:eastAsia="Times New Roman" w:hAnsi="Times New Roman"/>
          <w:b/>
          <w:sz w:val="28"/>
          <w:szCs w:val="28"/>
        </w:rPr>
      </w:pPr>
      <w:r>
        <w:rPr>
          <w:rFonts w:ascii="Times New Roman" w:eastAsia="Times New Roman" w:hAnsi="Times New Roman"/>
          <w:b/>
          <w:sz w:val="28"/>
          <w:szCs w:val="28"/>
        </w:rPr>
        <w:t>Приложение</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процентов (по состоянию на 01.01.2020)</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745"/>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«Редакция газеты «Волжская Новь»</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Издание газет</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Волжский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≈60-70%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≈70%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4 020 312</w:t>
            </w:r>
          </w:p>
        </w:tc>
      </w:tr>
      <w:tr w:rsidR="006A785B" w:rsidRPr="009A3329" w:rsidTr="00201186">
        <w:trPr>
          <w:trHeight w:val="970"/>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сельскохозяйственное произ</w:t>
            </w:r>
            <w:r w:rsidRPr="009A3329">
              <w:rPr>
                <w:rFonts w:ascii="Times New Roman" w:eastAsia="Times New Roman" w:hAnsi="Times New Roman"/>
                <w:color w:val="000000"/>
                <w:lang w:eastAsia="ru-RU"/>
              </w:rPr>
              <w:softHyphen/>
              <w:t>водственное предприятие «Первомайский»</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Растениеводство</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Самарская область</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&lt;5%</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&lt;5%</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727"/>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«Аптека                   № 105»</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Торговля розничная лекарствен</w:t>
            </w:r>
            <w:r w:rsidRPr="009A3329">
              <w:rPr>
                <w:rFonts w:ascii="Times New Roman" w:eastAsia="Times New Roman" w:hAnsi="Times New Roman"/>
                <w:color w:val="000000"/>
                <w:lang w:eastAsia="ru-RU"/>
              </w:rPr>
              <w:softHyphen/>
              <w:t xml:space="preserve">ными средствами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Волжский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≈3%</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≈3%</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68649A">
        <w:trPr>
          <w:trHeight w:val="635"/>
          <w:jc w:val="center"/>
        </w:trPr>
        <w:tc>
          <w:tcPr>
            <w:tcW w:w="437" w:type="dxa"/>
            <w:tcBorders>
              <w:top w:val="single" w:sz="4" w:space="0" w:color="auto"/>
              <w:bottom w:val="single" w:sz="4" w:space="0" w:color="auto"/>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«Тепло Волжского района»</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Производство и передача </w:t>
            </w:r>
            <w:proofErr w:type="spellStart"/>
            <w:r w:rsidRPr="009A3329">
              <w:rPr>
                <w:rFonts w:ascii="Times New Roman" w:eastAsia="Times New Roman" w:hAnsi="Times New Roman"/>
                <w:color w:val="000000"/>
                <w:lang w:eastAsia="ru-RU"/>
              </w:rPr>
              <w:t>тепло</w:t>
            </w:r>
            <w:r w:rsidRPr="009A3329">
              <w:rPr>
                <w:rFonts w:ascii="Times New Roman" w:eastAsia="Times New Roman" w:hAnsi="Times New Roman"/>
                <w:color w:val="000000"/>
                <w:lang w:eastAsia="ru-RU"/>
              </w:rPr>
              <w:softHyphen/>
              <w:t>энергии</w:t>
            </w:r>
            <w:proofErr w:type="spellEnd"/>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с. </w:t>
            </w:r>
            <w:proofErr w:type="spellStart"/>
            <w:r w:rsidRPr="009A3329">
              <w:rPr>
                <w:rFonts w:ascii="Times New Roman" w:eastAsia="Times New Roman" w:hAnsi="Times New Roman"/>
                <w:color w:val="000000"/>
                <w:lang w:eastAsia="ru-RU"/>
              </w:rPr>
              <w:t>Курумоч</w:t>
            </w:r>
            <w:proofErr w:type="spellEnd"/>
            <w:r w:rsidRPr="009A3329">
              <w:rPr>
                <w:rFonts w:ascii="Times New Roman" w:eastAsia="Times New Roman" w:hAnsi="Times New Roman"/>
                <w:color w:val="000000"/>
                <w:lang w:eastAsia="ru-RU"/>
              </w:rPr>
              <w:t xml:space="preserve">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560"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80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Теплообеспече</w:t>
            </w:r>
            <w:r w:rsidRPr="009A3329">
              <w:rPr>
                <w:rFonts w:ascii="Times New Roman" w:eastAsia="Times New Roman" w:hAnsi="Times New Roman"/>
                <w:color w:val="000000"/>
                <w:lang w:eastAsia="ru-RU"/>
              </w:rPr>
              <w:softHyphen/>
              <w:t>ние</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Производство и передача </w:t>
            </w:r>
            <w:proofErr w:type="spellStart"/>
            <w:r w:rsidRPr="009A3329">
              <w:rPr>
                <w:rFonts w:ascii="Times New Roman" w:eastAsia="Times New Roman" w:hAnsi="Times New Roman"/>
                <w:color w:val="000000"/>
                <w:lang w:eastAsia="ru-RU"/>
              </w:rPr>
              <w:t>тепло</w:t>
            </w:r>
            <w:r w:rsidRPr="009A3329">
              <w:rPr>
                <w:rFonts w:ascii="Times New Roman" w:eastAsia="Times New Roman" w:hAnsi="Times New Roman"/>
                <w:color w:val="000000"/>
                <w:lang w:eastAsia="ru-RU"/>
              </w:rPr>
              <w:softHyphen/>
              <w:t>энергии</w:t>
            </w:r>
            <w:proofErr w:type="spellEnd"/>
            <w:r w:rsidRPr="009A3329">
              <w:rPr>
                <w:rFonts w:ascii="Times New Roman" w:eastAsia="Times New Roman" w:hAnsi="Times New Roman"/>
                <w:color w:val="000000"/>
                <w:lang w:eastAsia="ru-RU"/>
              </w:rPr>
              <w:t xml:space="preserve">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3 </w:t>
            </w:r>
            <w:proofErr w:type="gramStart"/>
            <w:r w:rsidRPr="009A3329">
              <w:rPr>
                <w:rFonts w:ascii="Times New Roman" w:eastAsia="Times New Roman" w:hAnsi="Times New Roman"/>
                <w:color w:val="000000"/>
                <w:lang w:eastAsia="ru-RU"/>
              </w:rPr>
              <w:t>сельских</w:t>
            </w:r>
            <w:proofErr w:type="gramEnd"/>
            <w:r w:rsidRPr="009A3329">
              <w:rPr>
                <w:rFonts w:ascii="Times New Roman" w:eastAsia="Times New Roman" w:hAnsi="Times New Roman"/>
                <w:color w:val="000000"/>
                <w:lang w:eastAsia="ru-RU"/>
              </w:rPr>
              <w:t xml:space="preserve"> поселения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560"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668"/>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«Волжские тепловые сети»</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Теплоснабжение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Волжский</w:t>
            </w:r>
          </w:p>
        </w:tc>
        <w:tc>
          <w:tcPr>
            <w:tcW w:w="1701"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560"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984" w:type="dxa"/>
            <w:shd w:val="clear" w:color="auto" w:fill="auto"/>
          </w:tcPr>
          <w:p w:rsidR="006A785B" w:rsidRPr="009A3329" w:rsidRDefault="006A785B" w:rsidP="006A785B">
            <w:pPr>
              <w:ind w:right="20" w:firstLine="0"/>
              <w:jc w:val="center"/>
              <w:rPr>
                <w:rFonts w:ascii="Times New Roman" w:eastAsia="Times New Roman" w:hAnsi="Times New Roman"/>
                <w:iCs/>
                <w:lang w:eastAsia="ru-RU"/>
              </w:rPr>
            </w:pPr>
            <w:r w:rsidRPr="009A3329">
              <w:rPr>
                <w:rFonts w:ascii="Times New Roman" w:eastAsia="Times New Roman" w:hAnsi="Times New Roman"/>
                <w:iCs/>
                <w:lang w:eastAsia="ru-RU"/>
              </w:rPr>
              <w:t>4 000 000</w:t>
            </w:r>
          </w:p>
        </w:tc>
      </w:tr>
      <w:tr w:rsidR="006A785B" w:rsidRPr="009A3329" w:rsidTr="00201186">
        <w:trPr>
          <w:trHeight w:val="964"/>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«Волжское жилищно-коммунальное хозяйство»</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Производство и передача </w:t>
            </w:r>
            <w:proofErr w:type="spellStart"/>
            <w:r w:rsidRPr="009A3329">
              <w:rPr>
                <w:rFonts w:ascii="Times New Roman" w:eastAsia="Times New Roman" w:hAnsi="Times New Roman"/>
                <w:color w:val="000000"/>
                <w:lang w:eastAsia="ru-RU"/>
              </w:rPr>
              <w:t>тепло</w:t>
            </w:r>
            <w:r w:rsidRPr="009A3329">
              <w:rPr>
                <w:rFonts w:ascii="Times New Roman" w:eastAsia="Times New Roman" w:hAnsi="Times New Roman"/>
                <w:color w:val="000000"/>
                <w:lang w:eastAsia="ru-RU"/>
              </w:rPr>
              <w:softHyphen/>
              <w:t>энергии</w:t>
            </w:r>
            <w:proofErr w:type="spellEnd"/>
            <w:r w:rsidRPr="009A3329">
              <w:rPr>
                <w:rFonts w:ascii="Times New Roman" w:eastAsia="Times New Roman" w:hAnsi="Times New Roman"/>
                <w:color w:val="000000"/>
                <w:lang w:eastAsia="ru-RU"/>
              </w:rPr>
              <w:t>; Водоснаб</w:t>
            </w:r>
            <w:r w:rsidRPr="009A3329">
              <w:rPr>
                <w:rFonts w:ascii="Times New Roman" w:eastAsia="Times New Roman" w:hAnsi="Times New Roman"/>
                <w:color w:val="000000"/>
                <w:lang w:eastAsia="ru-RU"/>
              </w:rPr>
              <w:softHyphen/>
              <w:t>жение; Водоот</w:t>
            </w:r>
            <w:r w:rsidRPr="009A3329">
              <w:rPr>
                <w:rFonts w:ascii="Times New Roman" w:eastAsia="Times New Roman" w:hAnsi="Times New Roman"/>
                <w:color w:val="000000"/>
                <w:lang w:eastAsia="ru-RU"/>
              </w:rPr>
              <w:softHyphen/>
              <w:t xml:space="preserve">ведение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9 сельских поселений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560" w:type="dxa"/>
            <w:shd w:val="clear" w:color="auto" w:fill="auto"/>
            <w:hideMark/>
          </w:tcPr>
          <w:p w:rsidR="006A785B" w:rsidRPr="009A3329" w:rsidRDefault="006A785B" w:rsidP="006A785B">
            <w:pPr>
              <w:ind w:firstLine="0"/>
              <w:jc w:val="center"/>
            </w:pPr>
            <w:r w:rsidRPr="009A3329">
              <w:rPr>
                <w:rFonts w:ascii="Cambria Math" w:hAnsi="Cambria Math" w:cs="Cambria Math"/>
              </w:rPr>
              <w:t>⩾</w:t>
            </w:r>
            <w:r w:rsidRPr="009A3329">
              <w:rPr>
                <w:rFonts w:ascii="Times New Roman" w:hAnsi="Times New Roman"/>
              </w:rPr>
              <w:t>25%</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3 000 000</w:t>
            </w:r>
          </w:p>
        </w:tc>
      </w:tr>
      <w:tr w:rsidR="006A785B" w:rsidRPr="009A3329" w:rsidTr="00201186">
        <w:trPr>
          <w:trHeight w:val="795"/>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Смышляевское</w:t>
            </w:r>
            <w:proofErr w:type="spellEnd"/>
            <w:r w:rsidRPr="009A3329">
              <w:rPr>
                <w:rFonts w:ascii="Times New Roman" w:eastAsia="Times New Roman" w:hAnsi="Times New Roman"/>
                <w:color w:val="000000"/>
                <w:lang w:eastAsia="ru-RU"/>
              </w:rPr>
              <w:t>»</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Холодное водоснаб</w:t>
            </w:r>
            <w:r w:rsidRPr="009A3329">
              <w:rPr>
                <w:rFonts w:ascii="Times New Roman" w:eastAsia="Times New Roman" w:hAnsi="Times New Roman"/>
                <w:color w:val="000000"/>
                <w:lang w:eastAsia="ru-RU"/>
              </w:rPr>
              <w:softHyphen/>
              <w:t>жение; водоот</w:t>
            </w:r>
            <w:r w:rsidRPr="009A3329">
              <w:rPr>
                <w:rFonts w:ascii="Times New Roman" w:eastAsia="Times New Roman" w:hAnsi="Times New Roman"/>
                <w:color w:val="000000"/>
                <w:lang w:eastAsia="ru-RU"/>
              </w:rPr>
              <w:softHyphen/>
              <w:t>ведение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г.п</w:t>
            </w:r>
            <w:proofErr w:type="spellEnd"/>
            <w:r w:rsidRPr="009A3329">
              <w:rPr>
                <w:rFonts w:ascii="Times New Roman" w:eastAsia="Times New Roman" w:hAnsi="Times New Roman"/>
                <w:color w:val="000000"/>
                <w:lang w:eastAsia="ru-RU"/>
              </w:rPr>
              <w:t xml:space="preserve">. </w:t>
            </w:r>
            <w:proofErr w:type="spellStart"/>
            <w:r w:rsidRPr="009A3329">
              <w:rPr>
                <w:rFonts w:ascii="Times New Roman" w:eastAsia="Times New Roman" w:hAnsi="Times New Roman"/>
                <w:color w:val="000000"/>
                <w:lang w:eastAsia="ru-RU"/>
              </w:rPr>
              <w:t>Смышляевское</w:t>
            </w:r>
            <w:proofErr w:type="spellEnd"/>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487"/>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«Воскресенское»</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Холодное водоснаб</w:t>
            </w:r>
            <w:r w:rsidRPr="009A3329">
              <w:rPr>
                <w:rFonts w:ascii="Times New Roman" w:eastAsia="Times New Roman" w:hAnsi="Times New Roman"/>
                <w:color w:val="000000"/>
                <w:lang w:eastAsia="ru-RU"/>
              </w:rPr>
              <w:softHyphen/>
              <w:t>жение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с.п</w:t>
            </w:r>
            <w:proofErr w:type="spellEnd"/>
            <w:r w:rsidRPr="009A3329">
              <w:rPr>
                <w:rFonts w:ascii="Times New Roman" w:eastAsia="Times New Roman" w:hAnsi="Times New Roman"/>
                <w:color w:val="000000"/>
                <w:lang w:eastAsia="ru-RU"/>
              </w:rPr>
              <w:t xml:space="preserve">. </w:t>
            </w:r>
            <w:proofErr w:type="spellStart"/>
            <w:r w:rsidRPr="009A3329">
              <w:rPr>
                <w:rFonts w:ascii="Times New Roman" w:eastAsia="Times New Roman" w:hAnsi="Times New Roman"/>
                <w:color w:val="000000"/>
                <w:lang w:eastAsia="ru-RU"/>
              </w:rPr>
              <w:t>Воскресенка</w:t>
            </w:r>
            <w:proofErr w:type="spellEnd"/>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130 000</w:t>
            </w:r>
          </w:p>
        </w:tc>
      </w:tr>
      <w:tr w:rsidR="006A785B" w:rsidRPr="009A3329" w:rsidTr="00201186">
        <w:trPr>
          <w:trHeight w:val="780"/>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«Петра Дубрава»</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Водоснаб</w:t>
            </w:r>
            <w:r w:rsidRPr="009A3329">
              <w:rPr>
                <w:rFonts w:ascii="Times New Roman" w:eastAsia="Times New Roman" w:hAnsi="Times New Roman"/>
                <w:color w:val="000000"/>
                <w:lang w:eastAsia="ru-RU"/>
              </w:rPr>
              <w:softHyphen/>
              <w:t>жение; водоотведение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п.г.п</w:t>
            </w:r>
            <w:proofErr w:type="spellEnd"/>
            <w:r w:rsidRPr="009A3329">
              <w:rPr>
                <w:rFonts w:ascii="Times New Roman" w:eastAsia="Times New Roman" w:hAnsi="Times New Roman"/>
                <w:color w:val="000000"/>
                <w:lang w:eastAsia="ru-RU"/>
              </w:rPr>
              <w:t>. Петра Дубрава</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69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«Рождествено»</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Распределение воды для питьевых и промышленных нужд; Сбор не</w:t>
            </w:r>
            <w:r w:rsidRPr="009A3329">
              <w:rPr>
                <w:rFonts w:ascii="Times New Roman" w:eastAsia="Times New Roman" w:hAnsi="Times New Roman"/>
                <w:color w:val="000000"/>
                <w:lang w:eastAsia="ru-RU"/>
              </w:rPr>
              <w:softHyphen/>
              <w:t>опасных отходов</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20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«Жилищно-коммунальное хозяйство»</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Водоснаб</w:t>
            </w:r>
            <w:r w:rsidRPr="009A3329">
              <w:rPr>
                <w:rFonts w:ascii="Times New Roman" w:eastAsia="Times New Roman" w:hAnsi="Times New Roman"/>
                <w:color w:val="000000"/>
                <w:lang w:eastAsia="ru-RU"/>
              </w:rPr>
              <w:softHyphen/>
              <w:t>жение; водоотведение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с.п</w:t>
            </w:r>
            <w:proofErr w:type="spellEnd"/>
            <w:r w:rsidRPr="009A3329">
              <w:rPr>
                <w:rFonts w:ascii="Times New Roman" w:eastAsia="Times New Roman" w:hAnsi="Times New Roman"/>
                <w:color w:val="000000"/>
                <w:lang w:eastAsia="ru-RU"/>
              </w:rPr>
              <w:t xml:space="preserve">. </w:t>
            </w:r>
            <w:proofErr w:type="spellStart"/>
            <w:r w:rsidRPr="009A3329">
              <w:rPr>
                <w:rFonts w:ascii="Times New Roman" w:eastAsia="Times New Roman" w:hAnsi="Times New Roman"/>
                <w:color w:val="000000"/>
                <w:lang w:eastAsia="ru-RU"/>
              </w:rPr>
              <w:t>Курумоч</w:t>
            </w:r>
            <w:proofErr w:type="spellEnd"/>
            <w:r w:rsidRPr="009A3329">
              <w:rPr>
                <w:rFonts w:ascii="Times New Roman" w:eastAsia="Times New Roman" w:hAnsi="Times New Roman"/>
                <w:color w:val="000000"/>
                <w:lang w:eastAsia="ru-RU"/>
              </w:rPr>
              <w:t xml:space="preserve">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770"/>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Подстепновка</w:t>
            </w:r>
            <w:proofErr w:type="spellEnd"/>
            <w:r w:rsidRPr="009A3329">
              <w:rPr>
                <w:rFonts w:ascii="Times New Roman" w:eastAsia="Times New Roman" w:hAnsi="Times New Roman"/>
                <w:color w:val="000000"/>
                <w:lang w:eastAsia="ru-RU"/>
              </w:rPr>
              <w:t>»</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Водоснаб</w:t>
            </w:r>
            <w:r w:rsidRPr="009A3329">
              <w:rPr>
                <w:rFonts w:ascii="Times New Roman" w:eastAsia="Times New Roman" w:hAnsi="Times New Roman"/>
                <w:color w:val="000000"/>
                <w:lang w:eastAsia="ru-RU"/>
              </w:rPr>
              <w:softHyphen/>
              <w:t>жение; водоотведение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4 сельских поселений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797"/>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Суховязовское</w:t>
            </w:r>
            <w:proofErr w:type="spellEnd"/>
            <w:r w:rsidRPr="009A3329">
              <w:rPr>
                <w:rFonts w:ascii="Times New Roman" w:eastAsia="Times New Roman" w:hAnsi="Times New Roman"/>
                <w:color w:val="000000"/>
                <w:lang w:eastAsia="ru-RU"/>
              </w:rPr>
              <w:t>»</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Водоснаб</w:t>
            </w:r>
            <w:r w:rsidRPr="009A3329">
              <w:rPr>
                <w:rFonts w:ascii="Times New Roman" w:eastAsia="Times New Roman" w:hAnsi="Times New Roman"/>
                <w:color w:val="000000"/>
                <w:lang w:eastAsia="ru-RU"/>
              </w:rPr>
              <w:softHyphen/>
              <w:t>жение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с.п</w:t>
            </w:r>
            <w:proofErr w:type="spellEnd"/>
            <w:r w:rsidRPr="009A3329">
              <w:rPr>
                <w:rFonts w:ascii="Times New Roman" w:eastAsia="Times New Roman" w:hAnsi="Times New Roman"/>
                <w:color w:val="000000"/>
                <w:lang w:eastAsia="ru-RU"/>
              </w:rPr>
              <w:t xml:space="preserve">. Сухая Вязовка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320 000</w:t>
            </w:r>
          </w:p>
        </w:tc>
      </w:tr>
      <w:tr w:rsidR="006A785B" w:rsidRPr="009A3329" w:rsidTr="00201186">
        <w:trPr>
          <w:trHeight w:val="811"/>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«Жилищно-коммунальное хозяйство»</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Водоснаб</w:t>
            </w:r>
            <w:r w:rsidRPr="009A3329">
              <w:rPr>
                <w:rFonts w:ascii="Times New Roman" w:eastAsia="Times New Roman" w:hAnsi="Times New Roman"/>
                <w:color w:val="000000"/>
                <w:lang w:eastAsia="ru-RU"/>
              </w:rPr>
              <w:softHyphen/>
              <w:t>жение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с.п</w:t>
            </w:r>
            <w:proofErr w:type="spellEnd"/>
            <w:r w:rsidRPr="009A3329">
              <w:rPr>
                <w:rFonts w:ascii="Times New Roman" w:eastAsia="Times New Roman" w:hAnsi="Times New Roman"/>
                <w:color w:val="000000"/>
                <w:lang w:eastAsia="ru-RU"/>
              </w:rPr>
              <w:t xml:space="preserve">. Дубовый Умет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541"/>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«Волга»</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Водоснаб</w:t>
            </w:r>
            <w:r w:rsidRPr="009A3329">
              <w:rPr>
                <w:rFonts w:ascii="Times New Roman" w:eastAsia="Times New Roman" w:hAnsi="Times New Roman"/>
                <w:color w:val="000000"/>
                <w:lang w:eastAsia="ru-RU"/>
              </w:rPr>
              <w:softHyphen/>
              <w:t>жение; водоотведение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с.п</w:t>
            </w:r>
            <w:proofErr w:type="spellEnd"/>
            <w:r w:rsidRPr="009A3329">
              <w:rPr>
                <w:rFonts w:ascii="Times New Roman" w:eastAsia="Times New Roman" w:hAnsi="Times New Roman"/>
                <w:color w:val="000000"/>
                <w:lang w:eastAsia="ru-RU"/>
              </w:rPr>
              <w:t xml:space="preserve">. </w:t>
            </w:r>
            <w:proofErr w:type="spellStart"/>
            <w:r w:rsidRPr="009A3329">
              <w:rPr>
                <w:rFonts w:ascii="Times New Roman" w:eastAsia="Times New Roman" w:hAnsi="Times New Roman"/>
                <w:color w:val="000000"/>
                <w:lang w:eastAsia="ru-RU"/>
              </w:rPr>
              <w:t>Лопатино</w:t>
            </w:r>
            <w:proofErr w:type="spellEnd"/>
            <w:r w:rsidRPr="009A3329">
              <w:rPr>
                <w:rFonts w:ascii="Times New Roman" w:eastAsia="Times New Roman" w:hAnsi="Times New Roman"/>
                <w:color w:val="000000"/>
                <w:lang w:eastAsia="ru-RU"/>
              </w:rPr>
              <w:t xml:space="preserve">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838"/>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«Юбилейный»</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Водоснаб</w:t>
            </w:r>
            <w:r w:rsidRPr="009A3329">
              <w:rPr>
                <w:rFonts w:ascii="Times New Roman" w:eastAsia="Times New Roman" w:hAnsi="Times New Roman"/>
                <w:color w:val="000000"/>
                <w:lang w:eastAsia="ru-RU"/>
              </w:rPr>
              <w:softHyphen/>
              <w:t xml:space="preserve">жение; водоотведение; </w:t>
            </w:r>
            <w:proofErr w:type="spellStart"/>
            <w:r w:rsidRPr="009A3329">
              <w:rPr>
                <w:rFonts w:ascii="Times New Roman" w:eastAsia="Times New Roman" w:hAnsi="Times New Roman"/>
                <w:color w:val="000000"/>
                <w:lang w:eastAsia="ru-RU"/>
              </w:rPr>
              <w:t>теплообеспечение</w:t>
            </w:r>
            <w:proofErr w:type="spellEnd"/>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8 сельских поселений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851"/>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«Каскад»</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Водоотведение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п.г.т</w:t>
            </w:r>
            <w:proofErr w:type="spellEnd"/>
            <w:r w:rsidRPr="009A3329">
              <w:rPr>
                <w:rFonts w:ascii="Times New Roman" w:eastAsia="Times New Roman" w:hAnsi="Times New Roman"/>
                <w:color w:val="000000"/>
                <w:lang w:eastAsia="ru-RU"/>
              </w:rPr>
              <w:t xml:space="preserve">. </w:t>
            </w:r>
            <w:proofErr w:type="spellStart"/>
            <w:r w:rsidRPr="009A3329">
              <w:rPr>
                <w:rFonts w:ascii="Times New Roman" w:eastAsia="Times New Roman" w:hAnsi="Times New Roman"/>
                <w:color w:val="000000"/>
                <w:lang w:eastAsia="ru-RU"/>
              </w:rPr>
              <w:t>Стройкерамика</w:t>
            </w:r>
            <w:proofErr w:type="spellEnd"/>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881"/>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792008" w:rsidRDefault="006A785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«Подъем-Михайловское ЖКХ»</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Холодное водоснабжение</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с.п</w:t>
            </w:r>
            <w:proofErr w:type="spellEnd"/>
            <w:r w:rsidRPr="009A3329">
              <w:rPr>
                <w:rFonts w:ascii="Times New Roman" w:eastAsia="Times New Roman" w:hAnsi="Times New Roman"/>
                <w:color w:val="000000"/>
                <w:lang w:eastAsia="ru-RU"/>
              </w:rPr>
              <w:t xml:space="preserve">. Подъем-Михайловка </w:t>
            </w:r>
          </w:p>
          <w:p w:rsidR="006A785B" w:rsidRPr="009A3329" w:rsidRDefault="006A785B" w:rsidP="006A785B">
            <w:pPr>
              <w:ind w:left="-108" w:right="-111" w:firstLine="0"/>
              <w:jc w:val="center"/>
              <w:rPr>
                <w:rFonts w:ascii="Times New Roman" w:eastAsia="Times New Roman" w:hAnsi="Times New Roman"/>
                <w:color w:val="000000"/>
                <w:lang w:eastAsia="ru-RU"/>
              </w:rPr>
            </w:pPr>
            <w:proofErr w:type="spellStart"/>
            <w:r w:rsidRPr="009A3329">
              <w:rPr>
                <w:rFonts w:ascii="Times New Roman" w:eastAsia="Times New Roman" w:hAnsi="Times New Roman"/>
                <w:color w:val="000000"/>
                <w:lang w:eastAsia="ru-RU"/>
              </w:rPr>
              <w:t>м.р</w:t>
            </w:r>
            <w:proofErr w:type="spellEnd"/>
            <w:r w:rsidRPr="009A3329">
              <w:rPr>
                <w:rFonts w:ascii="Times New Roman" w:eastAsia="Times New Roman" w:hAnsi="Times New Roman"/>
                <w:color w:val="000000"/>
                <w:lang w:eastAsia="ru-RU"/>
              </w:rPr>
              <w:t>. Волжский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3554EB" w:rsidRPr="009A3329" w:rsidTr="00201186">
        <w:trPr>
          <w:trHeight w:val="881"/>
          <w:jc w:val="center"/>
        </w:trPr>
        <w:tc>
          <w:tcPr>
            <w:tcW w:w="437" w:type="dxa"/>
            <w:tcBorders>
              <w:top w:val="single" w:sz="4" w:space="0" w:color="auto"/>
              <w:left w:val="single" w:sz="4" w:space="0" w:color="auto"/>
              <w:bottom w:val="single" w:sz="4" w:space="0" w:color="auto"/>
              <w:right w:val="nil"/>
            </w:tcBorders>
            <w:shd w:val="clear" w:color="auto" w:fill="auto"/>
            <w:noWrap/>
          </w:tcPr>
          <w:p w:rsidR="003554EB" w:rsidRPr="00792008" w:rsidRDefault="003554EB" w:rsidP="00792008">
            <w:pPr>
              <w:pStyle w:val="a7"/>
              <w:numPr>
                <w:ilvl w:val="0"/>
                <w:numId w:val="45"/>
              </w:numPr>
              <w:ind w:left="0" w:firstLine="0"/>
              <w:jc w:val="center"/>
              <w:rPr>
                <w:rFonts w:ascii="Times New Roman" w:eastAsia="Times New Roman" w:hAnsi="Times New Roman"/>
                <w:color w:val="000000"/>
                <w:lang w:eastAsia="ru-RU"/>
              </w:rPr>
            </w:pPr>
          </w:p>
        </w:tc>
        <w:tc>
          <w:tcPr>
            <w:tcW w:w="3215" w:type="dxa"/>
            <w:shd w:val="clear" w:color="auto" w:fill="auto"/>
          </w:tcPr>
          <w:p w:rsidR="003554EB" w:rsidRPr="009A3329" w:rsidRDefault="00372308" w:rsidP="00372308">
            <w:pPr>
              <w:ind w:firstLine="0"/>
              <w:jc w:val="both"/>
              <w:rPr>
                <w:rFonts w:ascii="Times New Roman" w:eastAsia="Times New Roman" w:hAnsi="Times New Roman"/>
                <w:color w:val="000000"/>
                <w:lang w:eastAsia="ru-RU"/>
              </w:rPr>
            </w:pPr>
            <w:r>
              <w:rPr>
                <w:rFonts w:ascii="Times New Roman" w:eastAsia="Times New Roman" w:hAnsi="Times New Roman"/>
                <w:color w:val="000000"/>
                <w:lang w:eastAsia="ru-RU"/>
              </w:rPr>
              <w:t>Муниципальное унитарное предприятие «Имущество»</w:t>
            </w:r>
          </w:p>
        </w:tc>
        <w:tc>
          <w:tcPr>
            <w:tcW w:w="1276" w:type="dxa"/>
            <w:shd w:val="clear" w:color="auto" w:fill="auto"/>
          </w:tcPr>
          <w:p w:rsidR="003554EB" w:rsidRPr="009A3329" w:rsidRDefault="00372308" w:rsidP="006A78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3685" w:type="dxa"/>
            <w:shd w:val="clear" w:color="auto" w:fill="auto"/>
          </w:tcPr>
          <w:p w:rsidR="003554EB" w:rsidRPr="009A3329" w:rsidRDefault="00372308" w:rsidP="006A785B">
            <w:pPr>
              <w:ind w:firstLine="0"/>
              <w:jc w:val="both"/>
              <w:rPr>
                <w:rFonts w:ascii="Times New Roman" w:eastAsia="Times New Roman" w:hAnsi="Times New Roman"/>
                <w:color w:val="000000"/>
                <w:lang w:eastAsia="ru-RU"/>
              </w:rPr>
            </w:pPr>
            <w:r>
              <w:rPr>
                <w:rFonts w:ascii="Times New Roman" w:eastAsia="Times New Roman" w:hAnsi="Times New Roman"/>
                <w:color w:val="000000"/>
                <w:lang w:eastAsia="ru-RU"/>
              </w:rPr>
              <w:t>Управление недвижимым имуществом за вознаграждение или на договорной основе</w:t>
            </w:r>
          </w:p>
        </w:tc>
        <w:tc>
          <w:tcPr>
            <w:tcW w:w="1701" w:type="dxa"/>
            <w:shd w:val="clear" w:color="auto" w:fill="auto"/>
          </w:tcPr>
          <w:p w:rsidR="003554EB" w:rsidRPr="009A3329" w:rsidRDefault="00020CAF" w:rsidP="006A785B">
            <w:pPr>
              <w:ind w:left="-108" w:right="-111"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Муниципальный район Волжский</w:t>
            </w:r>
          </w:p>
        </w:tc>
        <w:tc>
          <w:tcPr>
            <w:tcW w:w="1701" w:type="dxa"/>
            <w:shd w:val="clear" w:color="auto" w:fill="auto"/>
          </w:tcPr>
          <w:p w:rsidR="003554EB" w:rsidRPr="009A3329" w:rsidRDefault="00020CAF" w:rsidP="006A78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560" w:type="dxa"/>
            <w:shd w:val="clear" w:color="auto" w:fill="auto"/>
          </w:tcPr>
          <w:p w:rsidR="003554EB" w:rsidRPr="009A3329" w:rsidRDefault="00020CAF" w:rsidP="006A78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984" w:type="dxa"/>
            <w:shd w:val="clear" w:color="auto" w:fill="auto"/>
          </w:tcPr>
          <w:p w:rsidR="003554EB" w:rsidRPr="009A3329" w:rsidRDefault="00020CAF" w:rsidP="006A78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bookmarkStart w:id="0" w:name="_GoBack"/>
            <w:bookmarkEnd w:id="0"/>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D5" w:rsidRDefault="00AD71D5" w:rsidP="003936B6">
      <w:r>
        <w:separator/>
      </w:r>
    </w:p>
  </w:endnote>
  <w:endnote w:type="continuationSeparator" w:id="0">
    <w:p w:rsidR="00AD71D5" w:rsidRDefault="00AD71D5"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D5" w:rsidRDefault="00AD71D5" w:rsidP="003936B6">
      <w:r>
        <w:separator/>
      </w:r>
    </w:p>
  </w:footnote>
  <w:footnote w:type="continuationSeparator" w:id="0">
    <w:p w:rsidR="00AD71D5" w:rsidRDefault="00AD71D5"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68649A" w:rsidRPr="004D6086" w:rsidRDefault="0068649A"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020CAF">
          <w:rPr>
            <w:rFonts w:ascii="Times New Roman" w:hAnsi="Times New Roman"/>
            <w:noProof/>
            <w:sz w:val="24"/>
            <w:szCs w:val="24"/>
          </w:rPr>
          <w:t>2</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C21CF0"/>
    <w:multiLevelType w:val="hybridMultilevel"/>
    <w:tmpl w:val="D9982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795A0A"/>
    <w:multiLevelType w:val="hybridMultilevel"/>
    <w:tmpl w:val="E61EA81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3"/>
  </w:num>
  <w:num w:numId="8">
    <w:abstractNumId w:val="32"/>
  </w:num>
  <w:num w:numId="9">
    <w:abstractNumId w:val="37"/>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2"/>
  </w:num>
  <w:num w:numId="20">
    <w:abstractNumId w:val="26"/>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29"/>
  </w:num>
  <w:num w:numId="34">
    <w:abstractNumId w:val="39"/>
  </w:num>
  <w:num w:numId="35">
    <w:abstractNumId w:val="20"/>
  </w:num>
  <w:num w:numId="36">
    <w:abstractNumId w:val="36"/>
  </w:num>
  <w:num w:numId="37">
    <w:abstractNumId w:val="5"/>
  </w:num>
  <w:num w:numId="38">
    <w:abstractNumId w:val="25"/>
  </w:num>
  <w:num w:numId="39">
    <w:abstractNumId w:val="35"/>
  </w:num>
  <w:num w:numId="40">
    <w:abstractNumId w:val="2"/>
  </w:num>
  <w:num w:numId="41">
    <w:abstractNumId w:val="43"/>
  </w:num>
  <w:num w:numId="42">
    <w:abstractNumId w:val="13"/>
  </w:num>
  <w:num w:numId="43">
    <w:abstractNumId w:val="24"/>
  </w:num>
  <w:num w:numId="44">
    <w:abstractNumId w:val="33"/>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0CAF"/>
    <w:rsid w:val="00025A5B"/>
    <w:rsid w:val="000268C9"/>
    <w:rsid w:val="00032186"/>
    <w:rsid w:val="00032DAE"/>
    <w:rsid w:val="00035478"/>
    <w:rsid w:val="00036819"/>
    <w:rsid w:val="0004133E"/>
    <w:rsid w:val="00046394"/>
    <w:rsid w:val="000505CD"/>
    <w:rsid w:val="00050733"/>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554EB"/>
    <w:rsid w:val="00366525"/>
    <w:rsid w:val="003711EF"/>
    <w:rsid w:val="00372308"/>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8649A"/>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008"/>
    <w:rsid w:val="0079221C"/>
    <w:rsid w:val="0079347C"/>
    <w:rsid w:val="007935D4"/>
    <w:rsid w:val="007A46BE"/>
    <w:rsid w:val="007B1BD2"/>
    <w:rsid w:val="007C5BAB"/>
    <w:rsid w:val="007D2CD9"/>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D71D5"/>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3D6"/>
    <w:rsid w:val="00CA4631"/>
    <w:rsid w:val="00CA6C0A"/>
    <w:rsid w:val="00CA6D24"/>
    <w:rsid w:val="00CB567A"/>
    <w:rsid w:val="00CC1941"/>
    <w:rsid w:val="00CD1AA6"/>
    <w:rsid w:val="00CF74B0"/>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5CBD"/>
    <w:rsid w:val="00DC7ED7"/>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5C60"/>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C223-36D6-446D-9D50-7114792A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Мыкалкина Екатерина</cp:lastModifiedBy>
  <cp:revision>6</cp:revision>
  <cp:lastPrinted>2020-03-06T13:02:00Z</cp:lastPrinted>
  <dcterms:created xsi:type="dcterms:W3CDTF">2020-04-15T09:57:00Z</dcterms:created>
  <dcterms:modified xsi:type="dcterms:W3CDTF">2020-04-20T09:42:00Z</dcterms:modified>
</cp:coreProperties>
</file>