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679"/>
      </w:tblGrid>
      <w:tr w:rsidR="005054BB" w:rsidTr="006D195F">
        <w:tc>
          <w:tcPr>
            <w:tcW w:w="4644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>"СОГЛАСОВАНО"</w:t>
            </w:r>
          </w:p>
          <w:p w:rsidR="005054BB" w:rsidRPr="004A2B2D" w:rsidRDefault="005054BB" w:rsidP="005054BB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Глава </w:t>
            </w: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сельского поселения Рождествено муниципального района Волжский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Самарской области</w:t>
            </w:r>
          </w:p>
        </w:tc>
        <w:tc>
          <w:tcPr>
            <w:tcW w:w="283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</w:tc>
        <w:tc>
          <w:tcPr>
            <w:tcW w:w="4679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>"УТВЕРЖДАЮ"</w:t>
            </w:r>
          </w:p>
          <w:p w:rsidR="005054BB" w:rsidRPr="004A2B2D" w:rsidRDefault="005054BB" w:rsidP="005054BB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Заместитель министра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лесного хозяйства, охраны окружающей среды и природопользования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Самарской области</w:t>
            </w:r>
          </w:p>
        </w:tc>
      </w:tr>
      <w:tr w:rsidR="005054BB" w:rsidTr="006D195F">
        <w:tc>
          <w:tcPr>
            <w:tcW w:w="4644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_____________________</w:t>
            </w: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Л.А. Савельева</w:t>
            </w: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  <w:p w:rsidR="005054BB" w:rsidRPr="004A2B2D" w:rsidRDefault="005054BB" w:rsidP="00BF53AC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"____" ___________________ 20</w:t>
            </w:r>
            <w:r w:rsidR="00BF53AC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21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г.</w:t>
            </w:r>
          </w:p>
        </w:tc>
        <w:tc>
          <w:tcPr>
            <w:tcW w:w="283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</w:tc>
        <w:tc>
          <w:tcPr>
            <w:tcW w:w="4679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____________________</w:t>
            </w: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 xml:space="preserve"> 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М.</w:t>
            </w: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В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Студенников</w:t>
            </w:r>
            <w:proofErr w:type="spellEnd"/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  <w:p w:rsidR="005054BB" w:rsidRPr="004A2B2D" w:rsidRDefault="005054BB" w:rsidP="00BF53AC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"____" ___________________ 20</w:t>
            </w:r>
            <w:r w:rsidR="00BF53AC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21 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г.</w:t>
            </w:r>
          </w:p>
        </w:tc>
      </w:tr>
    </w:tbl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187AE1" w:rsidRPr="006C4D86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>Т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ехническо</w:t>
      </w:r>
      <w:r>
        <w:rPr>
          <w:rStyle w:val="a4"/>
          <w:rFonts w:ascii="Arial" w:hAnsi="Arial" w:cs="Arial"/>
          <w:bdr w:val="none" w:sz="0" w:space="0" w:color="auto" w:frame="1"/>
        </w:rPr>
        <w:t>е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 xml:space="preserve"> задани</w:t>
      </w:r>
      <w:r>
        <w:rPr>
          <w:rStyle w:val="a4"/>
          <w:rFonts w:ascii="Arial" w:hAnsi="Arial" w:cs="Arial"/>
          <w:bdr w:val="none" w:sz="0" w:space="0" w:color="auto" w:frame="1"/>
        </w:rPr>
        <w:t>е</w:t>
      </w:r>
    </w:p>
    <w:p w:rsidR="00187AE1" w:rsidRPr="006C4D86" w:rsidRDefault="00EF0D3D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 xml:space="preserve">на </w:t>
      </w:r>
      <w:r w:rsidR="00AD6370">
        <w:rPr>
          <w:rStyle w:val="a4"/>
          <w:rFonts w:ascii="Arial" w:hAnsi="Arial" w:cs="Arial"/>
          <w:bdr w:val="none" w:sz="0" w:space="0" w:color="auto" w:frame="1"/>
        </w:rPr>
        <w:t>выполнение</w:t>
      </w:r>
      <w:r w:rsidR="00FB07C5">
        <w:rPr>
          <w:rStyle w:val="a4"/>
          <w:rFonts w:ascii="Arial" w:hAnsi="Arial" w:cs="Arial"/>
          <w:bdr w:val="none" w:sz="0" w:space="0" w:color="auto" w:frame="1"/>
        </w:rPr>
        <w:t xml:space="preserve"> о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ценки воздействия на окружающую среду (ОВОС)</w:t>
      </w:r>
    </w:p>
    <w:p w:rsidR="00FE1118" w:rsidRPr="00D81802" w:rsidRDefault="00FE1118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18"/>
          <w:bdr w:val="none" w:sz="0" w:space="0" w:color="auto" w:frame="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2"/>
        <w:gridCol w:w="3048"/>
        <w:gridCol w:w="5775"/>
      </w:tblGrid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и вид объекта</w:t>
            </w:r>
          </w:p>
        </w:tc>
        <w:tc>
          <w:tcPr>
            <w:tcW w:w="3090" w:type="pct"/>
          </w:tcPr>
          <w:p w:rsidR="00CC684B" w:rsidRPr="005054BB" w:rsidRDefault="00CC684B" w:rsidP="00CC684B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</w:t>
            </w:r>
            <w:r w:rsidRPr="005054B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ыполнение работ по мероприятию «Рекультивация территорий в районе сельского поселения Рождествено Самарской области, техногенно деградированных несанкционированным размещением спиртовой барды (в том числе проектирование)» </w:t>
            </w:r>
          </w:p>
          <w:p w:rsidR="00CD0E16" w:rsidRPr="005054BB" w:rsidRDefault="00CC684B" w:rsidP="00CC684B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в части разработки проектной документации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Местоположение объекта</w:t>
            </w:r>
          </w:p>
        </w:tc>
        <w:tc>
          <w:tcPr>
            <w:tcW w:w="3090" w:type="pct"/>
          </w:tcPr>
          <w:p w:rsidR="00CD0E16" w:rsidRPr="005054BB" w:rsidRDefault="00AB628C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Участок несанкционированного размещения спиртовой барды расположен на северо-западной окраине с. Рождествено, на расстоянии 110 м от ближайшей жилой застройки, в 50 м от склона оврага и в 400 м от ближайшего поверхностного водного объекта, сообщающегося с Саратовским водохранилищем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Заказчик и его юридический адрес</w:t>
            </w:r>
          </w:p>
        </w:tc>
        <w:tc>
          <w:tcPr>
            <w:tcW w:w="3090" w:type="pct"/>
          </w:tcPr>
          <w:p w:rsidR="00CD0E16" w:rsidRPr="005054BB" w:rsidRDefault="00AB628C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Министерство лесного хозяйства, охраны окружающей среды и природопользования Самарской области, 443013, г. Самара, ул. Дачная 4-Б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D73DC5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Проектная организация и ее юридический адрес</w:t>
            </w:r>
            <w:r w:rsidR="00D73DC5"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/ Исполнитель работ по оценке воздействия на окружающую среду</w:t>
            </w:r>
          </w:p>
        </w:tc>
        <w:tc>
          <w:tcPr>
            <w:tcW w:w="3090" w:type="pct"/>
          </w:tcPr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D73DC5" w:rsidRPr="005054BB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443100, Самарская область, г. Самара, ул. Молодогвардейская, д. 244, Главный корпус,</w:t>
            </w:r>
          </w:p>
          <w:p w:rsidR="00D73DC5" w:rsidRPr="005054BB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тел.8 (846) 337-</w:t>
            </w:r>
            <w:r w:rsidR="00646CA5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21-20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3090" w:type="pct"/>
          </w:tcPr>
          <w:p w:rsidR="00CD0E16" w:rsidRPr="005054BB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Бюджет Самарской области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Цель проведения ОВОС</w:t>
            </w:r>
          </w:p>
        </w:tc>
        <w:tc>
          <w:tcPr>
            <w:tcW w:w="3090" w:type="pct"/>
          </w:tcPr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Оценка воздействия намечаемой хозяйственной и иной деятельности на окружающую природную среду.</w:t>
            </w:r>
          </w:p>
          <w:p w:rsidR="00D73DC5" w:rsidRPr="005054BB" w:rsidRDefault="00D73DC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Учет мнения общественности при реализации проекта рекультивации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Прохождение государственной экологической экспертизы документации, обосновывающей намечаемую хозяйственную или иную деятельность.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Сроки проведения оценки воздействия на окружающую среду</w:t>
            </w:r>
          </w:p>
        </w:tc>
        <w:tc>
          <w:tcPr>
            <w:tcW w:w="3090" w:type="pct"/>
          </w:tcPr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Начало –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март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20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21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г.</w:t>
            </w:r>
          </w:p>
          <w:p w:rsidR="00CD0E16" w:rsidRPr="005054BB" w:rsidRDefault="00CD0E16" w:rsidP="005F0A3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Завершение –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июнь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20</w:t>
            </w:r>
            <w:r w:rsidR="00646CA5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2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1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г.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FE5980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Назначение и основные </w:t>
            </w:r>
            <w:r w:rsidR="00FE5980"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решения</w:t>
            </w:r>
          </w:p>
        </w:tc>
        <w:tc>
          <w:tcPr>
            <w:tcW w:w="3090" w:type="pct"/>
          </w:tcPr>
          <w:p w:rsidR="00AB628C" w:rsidRPr="005054BB" w:rsidRDefault="00AB628C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Объектом производства рекультивационных работ является территория несанкционированного размещения отходов (спиртовой барды, навоза КРС,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растительных остатков и т.д.) общей площадью 42,4421 га.</w:t>
            </w:r>
          </w:p>
          <w:p w:rsidR="00AB628C" w:rsidRPr="005054BB" w:rsidRDefault="00AB628C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Указанная территория включает земельные участки с кадастровыми номерами 63:17:0206005:1201 площадью 18,4821 га; 63:17:0206020:1306</w:t>
            </w:r>
            <w:r w:rsidR="006645F0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(63:17:0206005:1306 в соответствии с письмом НП "Самарская Лука"</w:t>
            </w:r>
            <w:r w:rsidR="00365690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)</w:t>
            </w:r>
            <w:r w:rsidR="006645F0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площадью 22,40 га и 63:17:0206005:1 площадью 1,56 га соответственно.</w:t>
            </w:r>
          </w:p>
          <w:p w:rsidR="006645F0" w:rsidRPr="005054BB" w:rsidRDefault="006F57CA" w:rsidP="00AB628C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</w:t>
            </w:r>
            <w:r w:rsidR="006645F0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анные земельные участки, по функциональному зонированию, согласно Положению о национальном парке "Самарская Лука", относятся к зоне хозяйственного назначения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(исх.№2016 от 09.10.2019 г.)</w:t>
            </w:r>
          </w:p>
          <w:p w:rsidR="00D50C74" w:rsidRPr="005054BB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Восстановление рассматриваемой территории может проводиться по нескольким направлениям:</w:t>
            </w:r>
          </w:p>
          <w:p w:rsidR="00D50C74" w:rsidRPr="005054BB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1. Рекультивация территории с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экскавацией и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вывозом антропогенн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ого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образования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через село Рождествено и р. Волга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на объекты размещения или обезвреживания отходов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;</w:t>
            </w:r>
          </w:p>
          <w:p w:rsidR="00D50C74" w:rsidRPr="005054BB" w:rsidRDefault="00D50C74" w:rsidP="00D50C74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2. Рекультивация территории с переработкой 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техногенного образования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непосредственно на месте е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го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текущего позиционирования</w:t>
            </w:r>
            <w:r w:rsidR="00AF0622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;</w:t>
            </w:r>
          </w:p>
          <w:p w:rsidR="00FE5980" w:rsidRPr="005054BB" w:rsidRDefault="00D50C74" w:rsidP="00AF0622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3. Консервация территории, включающая перекрытие участков размещения антропогенных грунтов и загрязненных участков гидроизоляционными мембранами для исключения их контакта с поверхностными водами и предотвращения вымывания загрязняющих веществ.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3090" w:type="pct"/>
          </w:tcPr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Комплект документации по оценке воздействия намечаемой деятельности на окружающую среду (ОВОС) должен быть разработан в соответствии с требованиями действующих нормативных документов: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</w:t>
            </w:r>
            <w:r w:rsidR="00F730F9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Госкомэкологии</w:t>
            </w:r>
            <w:proofErr w:type="spellEnd"/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РФ от 16.05.2000 № 372.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охране окружающей среды» от 10.01.2002 № 7-ФЗ.</w:t>
            </w:r>
          </w:p>
          <w:p w:rsidR="00CD0E16" w:rsidRPr="005054BB" w:rsidRDefault="00F730F9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</w:t>
            </w:r>
            <w:r w:rsidR="00CD0E16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ФЗ «Об экологической экспертизе» от 23.11.1995 № 174-ФЗ.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охране атмосферного воздуха» от 04.05.1999 № 96-ФЗ.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отходах производства и потребления» от 24.06.1998 № 89-ФЗ.</w:t>
            </w:r>
          </w:p>
          <w:p w:rsidR="00646CA5" w:rsidRPr="005054BB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Постановление Правительств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а РФ от 10.07.2018 №800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"О проведении рекультивации и консервации земель" (вместе с "Правилами проведения рекультивации и консервации земель").</w:t>
            </w:r>
          </w:p>
          <w:p w:rsidR="00646CA5" w:rsidRPr="005054BB" w:rsidRDefault="00646CA5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ФЗ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="005F0A33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"О санитарно-эпидемиологическом благополучии населения"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от 30.03.1999 N 52-ФЗ.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Градостроительный Кодекс РФ от 29.12.2004 № 190-ФЗ.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Водный Кодекс РФ от 03.06.2006 № 74-ФЗ.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Земельный Кодекс РФ от 25.10.2001 № 136-ФЗ.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исходных данных</w:t>
            </w:r>
          </w:p>
        </w:tc>
        <w:tc>
          <w:tcPr>
            <w:tcW w:w="3090" w:type="pct"/>
          </w:tcPr>
          <w:p w:rsidR="00F730F9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Материалы </w:t>
            </w:r>
            <w:r w:rsidR="00F730F9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изысканий и исследований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в объеме, требуемом для разработки материалов ОВОС</w:t>
            </w:r>
            <w:r w:rsidR="00F730F9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</w:t>
            </w:r>
          </w:p>
          <w:p w:rsidR="00CD0E16" w:rsidRPr="005054BB" w:rsidRDefault="00CD0E16" w:rsidP="005F0A3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Проектная</w:t>
            </w:r>
            <w:r w:rsidR="00F730F9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документация в соответствии с Постановлением Правительства РФ от 10 июля 2018 г. № 800 "О проведении рекультивации и консервации земель"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и </w:t>
            </w:r>
            <w:r w:rsidR="005F0A33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Постановлением Правительства РФ</w:t>
            </w:r>
            <w:r w:rsidR="005F0A33" w:rsidRP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от 16 февраля 2008 года 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№</w:t>
            </w:r>
            <w:r w:rsidR="005F0A33" w:rsidRP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87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«</w:t>
            </w:r>
            <w:r w:rsidR="005F0A33" w:rsidRP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 составе разделов проектной документации и требованиях к их содержанию</w:t>
            </w:r>
            <w:r w:rsidR="005F0A33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».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3090" w:type="pct"/>
          </w:tcPr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:rsidR="00CD0E16" w:rsidRPr="005054BB" w:rsidRDefault="00CD0E16" w:rsidP="00646CA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Материалы ОВОС необходимо выполнить на основе имеющейся официальной информации, статистики, проведенных ранее исследований. При выявлении недостатка в исходных данных и других неопределенностей в определении воздействий намечаемой деятельности на окружающую среду, описать данные неопределенности, оценить степень их значимости и разработать рекомендации по их устранению.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План проведения консультаций с общественностью</w:t>
            </w:r>
          </w:p>
        </w:tc>
        <w:tc>
          <w:tcPr>
            <w:tcW w:w="3090" w:type="pct"/>
          </w:tcPr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С целью выявления общественного мнения и обеспечения возможности его учета в проектных решениях, необходимо осуществить информирование общественности о намечаемой хозяйственной деятельности в период подготовки и проведения ОВОС.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 качестве основного метода выявления общественных предпочтений необходимо:</w:t>
            </w:r>
          </w:p>
          <w:p w:rsidR="00C61A0A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проинформировать заинтересованные стороны </w:t>
            </w:r>
            <w:bookmarkStart w:id="0" w:name="_GoBack"/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процесса ОВОС о настоящем техническом задании на проведение ОВОС, предварительных материалах ОВОС, о месте свободного доступа к настоящему техническому заданию и предварительным материалам ОВОС и фиксации замечаний и предложений в течение не менее 30 календарных дней со дня опубликования информации</w:t>
            </w:r>
            <w:r w:rsidR="00C61A0A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 Фиксация замечаний и предложений осуществляется путем ведения журнала регистрации посетителей.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При наличии обоснованных замечаний и предложений предусмотреть корректировку технического задания и разрабатываемых на его основе материал</w:t>
            </w:r>
            <w:r w:rsidR="00C61A0A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ов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по оценке воздействия на окружающую среду;</w:t>
            </w:r>
          </w:p>
          <w:bookmarkEnd w:id="0"/>
          <w:p w:rsidR="007A37F5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информирование осуществить путем размещения объявлений в официальных печатных изданиях федеральных органов исполнительной власти, органов исполнительной власти субъекта РФ и органов местного самоуправления.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Дополнительное информирование участников процесса оценки воздействия на окружающую среду может осуществляться путем размещения информации в сети Интернет и иными способами, обеспечивающими распространение и доступ к информации.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Основные задачи при проведении оценки </w:t>
            </w: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lastRenderedPageBreak/>
              <w:t>воздействия на окружающую среду</w:t>
            </w:r>
          </w:p>
        </w:tc>
        <w:tc>
          <w:tcPr>
            <w:tcW w:w="3090" w:type="pct"/>
          </w:tcPr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 xml:space="preserve">Оценка воздействия на окружающую среду проводится с целью выявления характера,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интенсивности, степени опасности влияния намечаемой хозяйственной деятельности на состояние окружающей среды с целью принятия решения о допустимости осуществления хозяйственной деятельности.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Для достижения указанной цели при проведении ОВОС необходимо решить следующие задачи: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провести комплексную оценку воздействия на окружающую среду;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рассмотреть факторы негативного воздействия на природную среду, определить количественные характеристики воздействий;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разработать мероприятия по предотвращению и снижению возможного негативного </w:t>
            </w:r>
            <w:r w:rsidR="000E42BF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воздействия на окружающую среду.</w:t>
            </w:r>
          </w:p>
        </w:tc>
      </w:tr>
      <w:tr w:rsidR="00CD0E16" w:rsidRPr="005054BB" w:rsidTr="00FE5980">
        <w:tc>
          <w:tcPr>
            <w:tcW w:w="279" w:type="pct"/>
            <w:vAlign w:val="center"/>
          </w:tcPr>
          <w:p w:rsidR="00CD0E16" w:rsidRPr="005054BB" w:rsidRDefault="00CD0E16" w:rsidP="00CD0E16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631" w:type="pct"/>
          </w:tcPr>
          <w:p w:rsidR="00CD0E16" w:rsidRPr="005054BB" w:rsidRDefault="00CD0E16" w:rsidP="00CD0E16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Состав и содержание материалов по оценке воздействия на окружающую среду</w:t>
            </w:r>
          </w:p>
        </w:tc>
        <w:tc>
          <w:tcPr>
            <w:tcW w:w="3090" w:type="pct"/>
          </w:tcPr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характеристику намечаемой хозяйственной и иной деятельности и возможных альтернатив;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возможные воздействия намечаемой хозяйственной и иной деятельности на окружающую среду с учетом альтернатив;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оценку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последствий);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мероприятия, уменьшающие, смягчающие или предотвращающие негативные воздействия, оценку их эффективности и возможности реализации</w:t>
            </w:r>
            <w:r w:rsidR="007A37F5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предложения по программе экологического мониторинга и контроля на всех этапах реализации намечаемой хозяйственной и иной деятельности</w:t>
            </w:r>
            <w:r w:rsidR="007A37F5"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;</w:t>
            </w:r>
          </w:p>
          <w:p w:rsidR="00CD0E16" w:rsidRPr="005054BB" w:rsidRDefault="00CD0E16" w:rsidP="007A37F5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предварительный вариант материалов по оценке воздействия на окружающую среду намечаемой хозяйственной и иной деятельности (включая краткое изложение для неспециалистов). </w:t>
            </w:r>
          </w:p>
        </w:tc>
      </w:tr>
    </w:tbl>
    <w:p w:rsidR="009E470F" w:rsidRPr="0035038E" w:rsidRDefault="009E470F" w:rsidP="009E470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2062"/>
      </w:tblGrid>
      <w:tr w:rsidR="00191B16" w:rsidRPr="004A2B2D" w:rsidTr="006D195F">
        <w:trPr>
          <w:trHeight w:val="928"/>
        </w:trPr>
        <w:tc>
          <w:tcPr>
            <w:tcW w:w="7372" w:type="dxa"/>
          </w:tcPr>
          <w:p w:rsidR="00191B16" w:rsidRPr="004A2B2D" w:rsidRDefault="00191B16" w:rsidP="00BF53AC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 w:rsidRPr="004A2B2D">
              <w:rPr>
                <w:rFonts w:ascii="Arial" w:hAnsi="Arial" w:cs="Arial"/>
              </w:rPr>
              <w:t>Главный инженер</w:t>
            </w:r>
            <w:r>
              <w:rPr>
                <w:rFonts w:ascii="Arial" w:hAnsi="Arial" w:cs="Arial"/>
              </w:rPr>
              <w:t xml:space="preserve"> проекта</w:t>
            </w:r>
          </w:p>
        </w:tc>
        <w:tc>
          <w:tcPr>
            <w:tcW w:w="2062" w:type="dxa"/>
          </w:tcPr>
          <w:p w:rsidR="00191B16" w:rsidRPr="004A2B2D" w:rsidRDefault="00BF53AC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А.Ю. Петров</w:t>
            </w:r>
          </w:p>
        </w:tc>
      </w:tr>
      <w:tr w:rsidR="00191B16" w:rsidRPr="004A2B2D" w:rsidTr="006D195F">
        <w:trPr>
          <w:trHeight w:val="928"/>
        </w:trPr>
        <w:tc>
          <w:tcPr>
            <w:tcW w:w="7372" w:type="dxa"/>
          </w:tcPr>
          <w:p w:rsidR="00191B16" w:rsidRPr="004A2B2D" w:rsidRDefault="00191B16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 w:rsidRPr="004A2B2D">
              <w:rPr>
                <w:rFonts w:ascii="Arial" w:hAnsi="Arial" w:cs="Arial"/>
              </w:rPr>
              <w:t>Ведущий специалист проектной группы, д.т.н.</w:t>
            </w:r>
          </w:p>
        </w:tc>
        <w:tc>
          <w:tcPr>
            <w:tcW w:w="2062" w:type="dxa"/>
          </w:tcPr>
          <w:p w:rsidR="00191B16" w:rsidRPr="004A2B2D" w:rsidRDefault="00BF53AC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Тупицына</w:t>
            </w:r>
          </w:p>
        </w:tc>
      </w:tr>
    </w:tbl>
    <w:p w:rsidR="004C137A" w:rsidRPr="0035038E" w:rsidRDefault="004C137A">
      <w:pPr>
        <w:rPr>
          <w:rStyle w:val="a4"/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</w:p>
    <w:sectPr w:rsidR="004C137A" w:rsidRPr="0035038E" w:rsidSect="005054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AB4"/>
    <w:multiLevelType w:val="hybridMultilevel"/>
    <w:tmpl w:val="136A1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0D27EB"/>
    <w:multiLevelType w:val="hybridMultilevel"/>
    <w:tmpl w:val="CCB27104"/>
    <w:lvl w:ilvl="0" w:tplc="B30C827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87522"/>
    <w:multiLevelType w:val="hybridMultilevel"/>
    <w:tmpl w:val="D3D8A4A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4AB308D0"/>
    <w:multiLevelType w:val="hybridMultilevel"/>
    <w:tmpl w:val="A0D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E1"/>
    <w:rsid w:val="000700F9"/>
    <w:rsid w:val="000E42BF"/>
    <w:rsid w:val="001159EA"/>
    <w:rsid w:val="00187AE1"/>
    <w:rsid w:val="00191B16"/>
    <w:rsid w:val="001E6B2A"/>
    <w:rsid w:val="002C0FE5"/>
    <w:rsid w:val="00316E02"/>
    <w:rsid w:val="00322E6D"/>
    <w:rsid w:val="0034689F"/>
    <w:rsid w:val="0035038E"/>
    <w:rsid w:val="00365690"/>
    <w:rsid w:val="00375F4F"/>
    <w:rsid w:val="003D14B5"/>
    <w:rsid w:val="004405D6"/>
    <w:rsid w:val="00450AE7"/>
    <w:rsid w:val="00464EC8"/>
    <w:rsid w:val="00492886"/>
    <w:rsid w:val="004C137A"/>
    <w:rsid w:val="004E42C3"/>
    <w:rsid w:val="005054BB"/>
    <w:rsid w:val="005316EF"/>
    <w:rsid w:val="005872CF"/>
    <w:rsid w:val="005F0A33"/>
    <w:rsid w:val="006112EA"/>
    <w:rsid w:val="00646CA5"/>
    <w:rsid w:val="006645F0"/>
    <w:rsid w:val="006C22C0"/>
    <w:rsid w:val="006C4D86"/>
    <w:rsid w:val="006F57CA"/>
    <w:rsid w:val="00730EA9"/>
    <w:rsid w:val="00750F42"/>
    <w:rsid w:val="007601BC"/>
    <w:rsid w:val="007A37F5"/>
    <w:rsid w:val="007F146B"/>
    <w:rsid w:val="008C645F"/>
    <w:rsid w:val="008D5A7B"/>
    <w:rsid w:val="009144C4"/>
    <w:rsid w:val="00914DA8"/>
    <w:rsid w:val="009E470F"/>
    <w:rsid w:val="009E7262"/>
    <w:rsid w:val="00A030E6"/>
    <w:rsid w:val="00A55F86"/>
    <w:rsid w:val="00A62834"/>
    <w:rsid w:val="00A657E5"/>
    <w:rsid w:val="00A664E7"/>
    <w:rsid w:val="00A716C5"/>
    <w:rsid w:val="00AB628C"/>
    <w:rsid w:val="00AD58C7"/>
    <w:rsid w:val="00AD6370"/>
    <w:rsid w:val="00AF0622"/>
    <w:rsid w:val="00B13D5D"/>
    <w:rsid w:val="00B64470"/>
    <w:rsid w:val="00B7349A"/>
    <w:rsid w:val="00BA1493"/>
    <w:rsid w:val="00BF53AC"/>
    <w:rsid w:val="00C21E6D"/>
    <w:rsid w:val="00C61A0A"/>
    <w:rsid w:val="00CC684B"/>
    <w:rsid w:val="00CD0E16"/>
    <w:rsid w:val="00CD50AE"/>
    <w:rsid w:val="00D50C74"/>
    <w:rsid w:val="00D73DC5"/>
    <w:rsid w:val="00D81802"/>
    <w:rsid w:val="00D85712"/>
    <w:rsid w:val="00E408B6"/>
    <w:rsid w:val="00E46292"/>
    <w:rsid w:val="00E835C7"/>
    <w:rsid w:val="00EF0D3D"/>
    <w:rsid w:val="00EF1956"/>
    <w:rsid w:val="00F730F9"/>
    <w:rsid w:val="00FB07C5"/>
    <w:rsid w:val="00FD3927"/>
    <w:rsid w:val="00FE1118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C62"/>
  <w15:docId w15:val="{5D996B1D-6BFB-46A5-8280-2C763A1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70"/>
  </w:style>
  <w:style w:type="paragraph" w:styleId="1">
    <w:name w:val="heading 1"/>
    <w:basedOn w:val="a"/>
    <w:link w:val="10"/>
    <w:uiPriority w:val="9"/>
    <w:qFormat/>
    <w:rsid w:val="0064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E1"/>
    <w:rPr>
      <w:b/>
      <w:bCs/>
    </w:rPr>
  </w:style>
  <w:style w:type="character" w:styleId="a5">
    <w:name w:val="Hyperlink"/>
    <w:basedOn w:val="a0"/>
    <w:uiPriority w:val="99"/>
    <w:semiHidden/>
    <w:unhideWhenUsed/>
    <w:rsid w:val="009E470F"/>
    <w:rPr>
      <w:color w:val="0000FF"/>
      <w:u w:val="single"/>
    </w:rPr>
  </w:style>
  <w:style w:type="table" w:customStyle="1" w:styleId="-411">
    <w:name w:val="Таблица-сетка 4 — акцент 11"/>
    <w:basedOn w:val="a1"/>
    <w:uiPriority w:val="49"/>
    <w:rsid w:val="008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6">
    <w:name w:val="List Paragraph"/>
    <w:basedOn w:val="a"/>
    <w:uiPriority w:val="34"/>
    <w:qFormat/>
    <w:rsid w:val="006C4D86"/>
    <w:pPr>
      <w:ind w:left="720"/>
      <w:contextualSpacing/>
    </w:pPr>
  </w:style>
  <w:style w:type="table" w:styleId="a7">
    <w:name w:val="Table Grid"/>
    <w:basedOn w:val="a1"/>
    <w:uiPriority w:val="39"/>
    <w:rsid w:val="00CD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1</cp:lastModifiedBy>
  <cp:revision>3</cp:revision>
  <cp:lastPrinted>2020-01-16T15:29:00Z</cp:lastPrinted>
  <dcterms:created xsi:type="dcterms:W3CDTF">2021-03-11T12:05:00Z</dcterms:created>
  <dcterms:modified xsi:type="dcterms:W3CDTF">2021-03-11T13:17:00Z</dcterms:modified>
</cp:coreProperties>
</file>